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Fonts w:hint="cs"/>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ליאור ברינגר</w:t>
                </w:r>
              </w:sdtContent>
            </w:sdt>
          </w:p>
          <w:p w:rsidR="002914D6" w:rsidRDefault="002914D6">
            <w:pPr>
              <w:rPr>
                <w:rFonts w:ascii="Arial" w:hAnsi="Arial" w:cs="FrankRuehl"/>
                <w:sz w:val="28"/>
                <w:szCs w:val="28"/>
                <w:highlight w:val="yellow"/>
              </w:rPr>
            </w:pPr>
          </w:p>
        </w:tc>
      </w:tr>
      <w:tr w:rsidR="002914D6">
        <w:trPr>
          <w:jc w:val="center"/>
        </w:trPr>
        <w:sdt>
          <w:sdtPr>
            <w:rPr>
              <w:rFonts w:ascii="Arial" w:hAnsi="Arial"/>
              <w:b/>
              <w:bCs/>
              <w:noProof w:val="0"/>
              <w:sz w:val="26"/>
              <w:szCs w:val="26"/>
            </w:rPr>
            <w:alias w:val="1180"/>
            <w:tag w:val="1180"/>
            <w:id w:val="108787784"/>
            <w:placeholder>
              <w:docPart w:val="31A55F6979184A8EB6F607B634EEB644"/>
            </w:placeholder>
            <w:text w:multiLine="1"/>
          </w:sdtPr>
          <w:sdtEndPr/>
          <w:sdtContent>
            <w:tc>
              <w:tcPr>
                <w:tcW w:w="3249" w:type="dxa"/>
                <w:gridSpan w:val="2"/>
              </w:tcPr>
              <w:p w:rsidR="002914D6" w:rsidRDefault="00602863" w:rsidP="00602863">
                <w:pPr>
                  <w:bidi w:val="0"/>
                  <w:jc w:val="right"/>
                  <w:rPr>
                    <w:rFonts w:ascii="Arial" w:hAnsi="Arial"/>
                    <w:b/>
                    <w:bCs/>
                    <w:noProof w:val="0"/>
                    <w:sz w:val="26"/>
                    <w:szCs w:val="26"/>
                    <w:rtl/>
                  </w:rPr>
                </w:pPr>
                <w:r>
                  <w:rPr>
                    <w:rFonts w:ascii="Arial" w:hAnsi="Arial" w:hint="cs"/>
                    <w:b/>
                    <w:bCs/>
                    <w:noProof w:val="0"/>
                    <w:sz w:val="26"/>
                    <w:szCs w:val="26"/>
                    <w:rtl/>
                  </w:rPr>
                  <w:t>תובע</w:t>
                </w:r>
              </w:p>
            </w:tc>
          </w:sdtContent>
        </w:sdt>
        <w:tc>
          <w:tcPr>
            <w:tcW w:w="5571" w:type="dxa"/>
          </w:tcPr>
          <w:p w:rsidR="002914D6" w:rsidRPr="0091560E" w:rsidRDefault="0031333B" w:rsidP="0091560E">
            <w:pPr>
              <w:rPr>
                <w:b/>
                <w:bCs/>
                <w:noProof w:val="0"/>
                <w:sz w:val="26"/>
                <w:szCs w:val="26"/>
                <w:rtl/>
              </w:rPr>
            </w:pPr>
            <w:sdt>
              <w:sdtPr>
                <w:rPr>
                  <w:rFonts w:hint="cs"/>
                  <w:b/>
                  <w:bCs/>
                  <w:noProof w:val="0"/>
                  <w:sz w:val="26"/>
                  <w:szCs w:val="26"/>
                  <w:rtl/>
                </w:rPr>
                <w:alias w:val="1478"/>
                <w:tag w:val="1478"/>
                <w:id w:val="614022805"/>
                <w:text w:multiLine="1"/>
              </w:sdtPr>
              <w:sdtEndPr/>
              <w:sdtContent>
                <w:r w:rsidR="0091560E" w:rsidRPr="0091560E">
                  <w:rPr>
                    <w:rStyle w:val="ac"/>
                    <w:rFonts w:hint="cs"/>
                    <w:b/>
                    <w:bCs/>
                    <w:color w:val="auto"/>
                    <w:rtl/>
                  </w:rPr>
                  <w:t>פלוני</w:t>
                </w:r>
              </w:sdtContent>
            </w:sdt>
          </w:p>
          <w:p w:rsidR="00602863" w:rsidRPr="00602863" w:rsidRDefault="00602863" w:rsidP="00D63367">
            <w:pPr>
              <w:rPr>
                <w:b/>
                <w:bCs/>
                <w:noProof w:val="0"/>
                <w:sz w:val="26"/>
                <w:szCs w:val="26"/>
              </w:rPr>
            </w:pPr>
            <w:r>
              <w:rPr>
                <w:rFonts w:hint="cs"/>
                <w:b/>
                <w:bCs/>
                <w:noProof w:val="0"/>
                <w:sz w:val="26"/>
                <w:szCs w:val="26"/>
                <w:rtl/>
              </w:rPr>
              <w:t xml:space="preserve">ע"י ב"כ עו"ד אסי סגל </w:t>
            </w:r>
          </w:p>
        </w:tc>
      </w:tr>
      <w:tr w:rsidR="002914D6">
        <w:trPr>
          <w:jc w:val="center"/>
        </w:trPr>
        <w:tc>
          <w:tcPr>
            <w:tcW w:w="8820" w:type="dxa"/>
            <w:gridSpan w:val="3"/>
          </w:tcPr>
          <w:p w:rsidR="002914D6" w:rsidRPr="00D63367"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602863">
            <w:pPr>
              <w:rPr>
                <w:rFonts w:ascii="Arial" w:hAnsi="Arial"/>
                <w:b/>
                <w:bCs/>
                <w:noProof w:val="0"/>
                <w:sz w:val="26"/>
                <w:szCs w:val="26"/>
              </w:rPr>
            </w:pPr>
            <w:r>
              <w:rPr>
                <w:rFonts w:ascii="Arial" w:hAnsi="Arial" w:hint="cs"/>
                <w:b/>
                <w:bCs/>
                <w:noProof w:val="0"/>
                <w:sz w:val="26"/>
                <w:szCs w:val="26"/>
                <w:rtl/>
              </w:rPr>
              <w:t>נתבעת</w:t>
            </w:r>
          </w:p>
        </w:tc>
        <w:tc>
          <w:tcPr>
            <w:tcW w:w="5571" w:type="dxa"/>
          </w:tcPr>
          <w:p w:rsidR="002914D6" w:rsidRPr="00D63367" w:rsidRDefault="0091560E" w:rsidP="00D63367">
            <w:pPr>
              <w:rPr>
                <w:b/>
                <w:bCs/>
                <w:noProof w:val="0"/>
                <w:sz w:val="26"/>
                <w:szCs w:val="26"/>
                <w:rtl/>
              </w:rPr>
            </w:pPr>
            <w:r>
              <w:rPr>
                <w:rFonts w:hint="cs"/>
                <w:b/>
                <w:bCs/>
                <w:noProof w:val="0"/>
                <w:sz w:val="26"/>
                <w:szCs w:val="26"/>
                <w:rtl/>
              </w:rPr>
              <w:t>אלמונית</w:t>
            </w:r>
          </w:p>
          <w:p w:rsidR="00602863" w:rsidRPr="00602863" w:rsidRDefault="00D63367" w:rsidP="00D63367">
            <w:pPr>
              <w:rPr>
                <w:b/>
                <w:bCs/>
                <w:noProof w:val="0"/>
                <w:sz w:val="26"/>
                <w:szCs w:val="26"/>
                <w:rtl/>
              </w:rPr>
            </w:pPr>
            <w:r>
              <w:rPr>
                <w:rFonts w:hint="cs"/>
                <w:b/>
                <w:bCs/>
                <w:noProof w:val="0"/>
                <w:sz w:val="26"/>
                <w:szCs w:val="26"/>
                <w:rtl/>
              </w:rPr>
              <w:t>ע</w:t>
            </w:r>
            <w:r w:rsidR="00602863">
              <w:rPr>
                <w:rFonts w:hint="cs"/>
                <w:b/>
                <w:bCs/>
                <w:noProof w:val="0"/>
                <w:sz w:val="26"/>
                <w:szCs w:val="26"/>
                <w:rtl/>
              </w:rPr>
              <w:t>"י ב"כ עו"ד איתן אנג'ל</w:t>
            </w:r>
          </w:p>
        </w:tc>
      </w:tr>
    </w:tbl>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2914D6" w:rsidRDefault="00602863" w:rsidP="00602863">
      <w:pPr>
        <w:pStyle w:val="ad"/>
        <w:numPr>
          <w:ilvl w:val="0"/>
          <w:numId w:val="3"/>
        </w:numPr>
        <w:spacing w:line="360" w:lineRule="auto"/>
        <w:jc w:val="both"/>
        <w:rPr>
          <w:rFonts w:ascii="Arial" w:hAnsi="Arial"/>
          <w:noProof w:val="0"/>
        </w:rPr>
      </w:pPr>
      <w:r>
        <w:rPr>
          <w:rFonts w:ascii="Arial" w:hAnsi="Arial" w:hint="cs"/>
          <w:noProof w:val="0"/>
          <w:rtl/>
        </w:rPr>
        <w:t>הצדדים היו נשואים זל"ז ונולדו להם 3 ילדים:</w:t>
      </w:r>
    </w:p>
    <w:p w:rsidR="00602863" w:rsidRDefault="00602863" w:rsidP="0091560E">
      <w:pPr>
        <w:pStyle w:val="ad"/>
        <w:spacing w:line="360" w:lineRule="auto"/>
        <w:jc w:val="both"/>
        <w:rPr>
          <w:rFonts w:ascii="Arial" w:hAnsi="Arial"/>
          <w:noProof w:val="0"/>
          <w:rtl/>
        </w:rPr>
      </w:pPr>
      <w:r>
        <w:rPr>
          <w:rFonts w:ascii="Arial" w:hAnsi="Arial" w:hint="cs"/>
          <w:noProof w:val="0"/>
          <w:rtl/>
        </w:rPr>
        <w:t>א</w:t>
      </w:r>
      <w:r w:rsidR="0091560E">
        <w:rPr>
          <w:rFonts w:ascii="Arial" w:hAnsi="Arial" w:hint="cs"/>
          <w:noProof w:val="0"/>
          <w:rtl/>
        </w:rPr>
        <w:t>' יליד  18 - -</w:t>
      </w:r>
    </w:p>
    <w:p w:rsidR="00602863" w:rsidRDefault="0091560E" w:rsidP="0091560E">
      <w:pPr>
        <w:pStyle w:val="ad"/>
        <w:spacing w:line="360" w:lineRule="auto"/>
        <w:jc w:val="both"/>
        <w:rPr>
          <w:rFonts w:ascii="Arial" w:hAnsi="Arial"/>
          <w:noProof w:val="0"/>
          <w:rtl/>
        </w:rPr>
      </w:pPr>
      <w:r>
        <w:rPr>
          <w:rFonts w:ascii="Arial" w:hAnsi="Arial" w:hint="cs"/>
          <w:noProof w:val="0"/>
          <w:rtl/>
        </w:rPr>
        <w:t xml:space="preserve">ב' ילידת </w:t>
      </w:r>
      <w:r w:rsidR="00602863">
        <w:rPr>
          <w:rFonts w:ascii="Arial" w:hAnsi="Arial" w:hint="cs"/>
          <w:noProof w:val="0"/>
          <w:rtl/>
        </w:rPr>
        <w:t>19</w:t>
      </w:r>
      <w:r>
        <w:rPr>
          <w:rFonts w:ascii="Arial" w:hAnsi="Arial" w:hint="cs"/>
          <w:noProof w:val="0"/>
          <w:rtl/>
        </w:rPr>
        <w:t xml:space="preserve"> - -</w:t>
      </w:r>
    </w:p>
    <w:p w:rsidR="00602863" w:rsidRDefault="0091560E" w:rsidP="0091560E">
      <w:pPr>
        <w:pStyle w:val="ad"/>
        <w:spacing w:line="360" w:lineRule="auto"/>
        <w:jc w:val="both"/>
        <w:rPr>
          <w:rFonts w:ascii="Arial" w:hAnsi="Arial"/>
          <w:noProof w:val="0"/>
          <w:rtl/>
        </w:rPr>
      </w:pPr>
      <w:r>
        <w:rPr>
          <w:rFonts w:ascii="Arial" w:hAnsi="Arial" w:hint="cs"/>
          <w:noProof w:val="0"/>
          <w:rtl/>
        </w:rPr>
        <w:t>ג'</w:t>
      </w:r>
      <w:r w:rsidR="00602863">
        <w:rPr>
          <w:rFonts w:ascii="Arial" w:hAnsi="Arial" w:hint="cs"/>
          <w:noProof w:val="0"/>
          <w:rtl/>
        </w:rPr>
        <w:t xml:space="preserve"> יליד 21</w:t>
      </w:r>
      <w:r>
        <w:rPr>
          <w:rFonts w:ascii="Arial" w:hAnsi="Arial" w:hint="cs"/>
          <w:noProof w:val="0"/>
          <w:rtl/>
        </w:rPr>
        <w:t xml:space="preserve"> - -</w:t>
      </w:r>
    </w:p>
    <w:p w:rsidR="00602863" w:rsidRDefault="00602863" w:rsidP="00602863">
      <w:pPr>
        <w:pStyle w:val="ad"/>
        <w:numPr>
          <w:ilvl w:val="0"/>
          <w:numId w:val="3"/>
        </w:numPr>
        <w:spacing w:line="360" w:lineRule="auto"/>
        <w:jc w:val="both"/>
        <w:rPr>
          <w:rFonts w:ascii="Arial" w:hAnsi="Arial"/>
          <w:noProof w:val="0"/>
        </w:rPr>
      </w:pPr>
      <w:r>
        <w:rPr>
          <w:rFonts w:ascii="Arial" w:hAnsi="Arial" w:hint="cs"/>
          <w:noProof w:val="0"/>
          <w:rtl/>
        </w:rPr>
        <w:t>יחסי הצדדים התערערו, הם ניהלו תביעות שונות ולבסוף התגרשו.</w:t>
      </w:r>
    </w:p>
    <w:p w:rsidR="00602863" w:rsidRDefault="00602863" w:rsidP="00602863">
      <w:pPr>
        <w:pStyle w:val="ad"/>
        <w:numPr>
          <w:ilvl w:val="0"/>
          <w:numId w:val="3"/>
        </w:numPr>
        <w:spacing w:line="360" w:lineRule="auto"/>
        <w:jc w:val="both"/>
        <w:rPr>
          <w:rFonts w:ascii="Arial" w:hAnsi="Arial"/>
          <w:noProof w:val="0"/>
        </w:rPr>
      </w:pPr>
      <w:r>
        <w:rPr>
          <w:rFonts w:ascii="Arial" w:hAnsi="Arial" w:hint="cs"/>
          <w:noProof w:val="0"/>
          <w:rtl/>
        </w:rPr>
        <w:t>במהלך הסכסוך בין הצדדים, התלוננה הנתבעת במשטרה וטענה כי התובע תקף אותה.</w:t>
      </w:r>
    </w:p>
    <w:p w:rsidR="00602863" w:rsidRDefault="00B124B0" w:rsidP="00602863">
      <w:pPr>
        <w:pStyle w:val="ad"/>
        <w:spacing w:line="360" w:lineRule="auto"/>
        <w:jc w:val="both"/>
        <w:rPr>
          <w:rFonts w:ascii="Arial" w:hAnsi="Arial"/>
          <w:noProof w:val="0"/>
          <w:rtl/>
        </w:rPr>
      </w:pPr>
      <w:r>
        <w:rPr>
          <w:rFonts w:ascii="Arial" w:hAnsi="Arial" w:hint="cs"/>
          <w:noProof w:val="0"/>
          <w:rtl/>
        </w:rPr>
        <w:t>התובע טען</w:t>
      </w:r>
      <w:r w:rsidR="00602863">
        <w:rPr>
          <w:rFonts w:ascii="Arial" w:hAnsi="Arial" w:hint="cs"/>
          <w:noProof w:val="0"/>
          <w:rtl/>
        </w:rPr>
        <w:t xml:space="preserve"> כי לא היו דברים מעולם, הנתבעת הגישה למשטרה תלונת שווא בגין מעשים שלא קרו, תלונתה מהווה פרסום לשון הרע ולכן הוא עותר לחיוב הנתבעת לפצותו ב-200 אש"ח. </w:t>
      </w:r>
    </w:p>
    <w:p w:rsidR="00602863" w:rsidRDefault="00602863" w:rsidP="00602863">
      <w:pPr>
        <w:pStyle w:val="ad"/>
        <w:numPr>
          <w:ilvl w:val="0"/>
          <w:numId w:val="3"/>
        </w:numPr>
        <w:spacing w:line="360" w:lineRule="auto"/>
        <w:jc w:val="both"/>
        <w:rPr>
          <w:rFonts w:ascii="Arial" w:hAnsi="Arial"/>
          <w:noProof w:val="0"/>
        </w:rPr>
      </w:pPr>
      <w:r>
        <w:rPr>
          <w:rFonts w:ascii="Arial" w:hAnsi="Arial" w:hint="cs"/>
          <w:noProof w:val="0"/>
          <w:rtl/>
        </w:rPr>
        <w:t>הנתבעת טוענת שתלונתה תלונת אמת, התובע תקף אותה ולכן התלונ</w:t>
      </w:r>
      <w:r w:rsidR="00B124B0">
        <w:rPr>
          <w:rFonts w:ascii="Arial" w:hAnsi="Arial" w:hint="cs"/>
          <w:noProof w:val="0"/>
          <w:rtl/>
        </w:rPr>
        <w:t>נ</w:t>
      </w:r>
      <w:r>
        <w:rPr>
          <w:rFonts w:ascii="Arial" w:hAnsi="Arial" w:hint="cs"/>
          <w:noProof w:val="0"/>
          <w:rtl/>
        </w:rPr>
        <w:t xml:space="preserve">ה. </w:t>
      </w:r>
    </w:p>
    <w:p w:rsidR="00602863" w:rsidRDefault="00602863" w:rsidP="00602863">
      <w:pPr>
        <w:pStyle w:val="ad"/>
        <w:numPr>
          <w:ilvl w:val="0"/>
          <w:numId w:val="3"/>
        </w:numPr>
        <w:spacing w:line="360" w:lineRule="auto"/>
        <w:jc w:val="both"/>
        <w:rPr>
          <w:rFonts w:ascii="Arial" w:hAnsi="Arial"/>
          <w:noProof w:val="0"/>
        </w:rPr>
      </w:pPr>
      <w:r>
        <w:rPr>
          <w:rFonts w:ascii="Arial" w:hAnsi="Arial" w:hint="cs"/>
          <w:noProof w:val="0"/>
          <w:rtl/>
        </w:rPr>
        <w:t>חוק א</w:t>
      </w:r>
      <w:r w:rsidR="00B124B0">
        <w:rPr>
          <w:rFonts w:ascii="Arial" w:hAnsi="Arial" w:hint="cs"/>
          <w:noProof w:val="0"/>
          <w:rtl/>
        </w:rPr>
        <w:t>יסור לשון הרע, התשכ"ה-1965 קובע כי פרסום לשון הרע ע</w:t>
      </w:r>
      <w:r>
        <w:rPr>
          <w:rFonts w:ascii="Arial" w:hAnsi="Arial" w:hint="cs"/>
          <w:noProof w:val="0"/>
          <w:rtl/>
        </w:rPr>
        <w:t xml:space="preserve">ל אדם מהווה עוולה אזרחית והנפגע זכאי לפיצוי בשל עוולה זו. </w:t>
      </w:r>
    </w:p>
    <w:p w:rsidR="00602863" w:rsidRDefault="00602863" w:rsidP="00602863">
      <w:pPr>
        <w:pStyle w:val="ad"/>
        <w:numPr>
          <w:ilvl w:val="0"/>
          <w:numId w:val="3"/>
        </w:numPr>
        <w:spacing w:line="360" w:lineRule="auto"/>
        <w:jc w:val="both"/>
        <w:rPr>
          <w:rFonts w:ascii="Arial" w:hAnsi="Arial"/>
          <w:noProof w:val="0"/>
        </w:rPr>
      </w:pPr>
      <w:r>
        <w:rPr>
          <w:rFonts w:ascii="Arial" w:hAnsi="Arial" w:hint="cs"/>
          <w:noProof w:val="0"/>
          <w:rtl/>
        </w:rPr>
        <w:t>פרסום המייחס לאדם עבירה</w:t>
      </w:r>
      <w:r w:rsidR="006733FA">
        <w:rPr>
          <w:rFonts w:ascii="Arial" w:hAnsi="Arial" w:hint="cs"/>
          <w:noProof w:val="0"/>
          <w:rtl/>
        </w:rPr>
        <w:t xml:space="preserve"> פלילית שנעברה על ידו, פוגע על פניו בשמו הטוב של אותו אדם, עלול להשפילו בעיני הבריות ולכן מהווה לשון הרע.</w:t>
      </w:r>
    </w:p>
    <w:p w:rsidR="006733FA" w:rsidRDefault="006733FA" w:rsidP="00602863">
      <w:pPr>
        <w:pStyle w:val="ad"/>
        <w:numPr>
          <w:ilvl w:val="0"/>
          <w:numId w:val="3"/>
        </w:numPr>
        <w:spacing w:line="360" w:lineRule="auto"/>
        <w:jc w:val="both"/>
        <w:rPr>
          <w:rFonts w:ascii="Arial" w:hAnsi="Arial"/>
          <w:noProof w:val="0"/>
        </w:rPr>
      </w:pPr>
      <w:r>
        <w:rPr>
          <w:rFonts w:ascii="Arial" w:hAnsi="Arial" w:hint="cs"/>
          <w:noProof w:val="0"/>
          <w:rtl/>
        </w:rPr>
        <w:t xml:space="preserve">כאמור, הנתבעת טענה שהתובע תקף אותה והיא סיפרה זאת לעו"ס ברווחה ולמשטרה. בכך, פרסמה לכאורה לשון הרע אודות התובע. </w:t>
      </w:r>
    </w:p>
    <w:p w:rsidR="006733FA" w:rsidRDefault="006733FA" w:rsidP="00292F92">
      <w:pPr>
        <w:pStyle w:val="ad"/>
        <w:numPr>
          <w:ilvl w:val="0"/>
          <w:numId w:val="3"/>
        </w:numPr>
        <w:spacing w:line="360" w:lineRule="auto"/>
        <w:jc w:val="both"/>
        <w:rPr>
          <w:rFonts w:ascii="Arial" w:hAnsi="Arial"/>
          <w:noProof w:val="0"/>
        </w:rPr>
      </w:pPr>
      <w:r>
        <w:rPr>
          <w:rFonts w:ascii="Arial" w:hAnsi="Arial" w:hint="cs"/>
          <w:noProof w:val="0"/>
          <w:rtl/>
        </w:rPr>
        <w:t xml:space="preserve">התוצאה העלולה להיגרם </w:t>
      </w:r>
      <w:r w:rsidR="00B124B0">
        <w:rPr>
          <w:rFonts w:ascii="Arial" w:hAnsi="Arial" w:hint="cs"/>
          <w:noProof w:val="0"/>
          <w:rtl/>
        </w:rPr>
        <w:t>מהמצב המשפטי המתואר לעיל הי</w:t>
      </w:r>
      <w:r>
        <w:rPr>
          <w:rFonts w:ascii="Arial" w:hAnsi="Arial" w:hint="cs"/>
          <w:noProof w:val="0"/>
          <w:rtl/>
        </w:rPr>
        <w:t>א שאנשים יפחדו להתלונן למשטרה, שמה לא תוכח טענתם והם יהיו חשופים לתביעת לשון הרע, תוצאה</w:t>
      </w:r>
      <w:r w:rsidR="00B124B0">
        <w:rPr>
          <w:rFonts w:ascii="Arial" w:hAnsi="Arial" w:hint="cs"/>
          <w:noProof w:val="0"/>
          <w:rtl/>
        </w:rPr>
        <w:t xml:space="preserve"> לא ראויה מבחינה ציבורית. לפיכך</w:t>
      </w:r>
      <w:r>
        <w:rPr>
          <w:rFonts w:ascii="Arial" w:hAnsi="Arial" w:hint="cs"/>
          <w:noProof w:val="0"/>
          <w:rtl/>
        </w:rPr>
        <w:t xml:space="preserve"> מצא המחוקק לאזן בין האינטרסים השונים וקבע, בין השאר, את ההגנה הניתנת למפרסם לשון הרע שעשה את הפרסום בנסיבות האמור בסעיף 15(8) לחוק. על פי סעיף 15(8), במשפט פלילי או אזרחי בשל לשון הרע תהא זאת הגנה טובה אם הפרסום היה תלונה שהוגשה לרשות המוסמכת לקבל תלונות או לחקור בעניין התלונה, ובלבד שהנתבע עשה את הפרסום בתום לב. </w:t>
      </w:r>
    </w:p>
    <w:p w:rsidR="006733FA" w:rsidRDefault="006733FA" w:rsidP="00602863">
      <w:pPr>
        <w:pStyle w:val="ad"/>
        <w:numPr>
          <w:ilvl w:val="0"/>
          <w:numId w:val="3"/>
        </w:numPr>
        <w:spacing w:line="360" w:lineRule="auto"/>
        <w:jc w:val="both"/>
        <w:rPr>
          <w:rFonts w:ascii="Arial" w:hAnsi="Arial"/>
          <w:noProof w:val="0"/>
        </w:rPr>
      </w:pPr>
      <w:r>
        <w:rPr>
          <w:rFonts w:ascii="Arial" w:hAnsi="Arial" w:hint="cs"/>
          <w:noProof w:val="0"/>
          <w:rtl/>
        </w:rPr>
        <w:t>דומה כי אי</w:t>
      </w:r>
      <w:r w:rsidR="00292F92">
        <w:rPr>
          <w:rFonts w:ascii="Arial" w:hAnsi="Arial" w:hint="cs"/>
          <w:noProof w:val="0"/>
          <w:rtl/>
        </w:rPr>
        <w:t>ן ספק</w:t>
      </w:r>
      <w:r>
        <w:rPr>
          <w:rFonts w:ascii="Arial" w:hAnsi="Arial" w:hint="cs"/>
          <w:noProof w:val="0"/>
          <w:rtl/>
        </w:rPr>
        <w:t xml:space="preserve"> </w:t>
      </w:r>
      <w:r w:rsidR="00292F92">
        <w:rPr>
          <w:rFonts w:ascii="Arial" w:hAnsi="Arial" w:hint="cs"/>
          <w:noProof w:val="0"/>
          <w:rtl/>
        </w:rPr>
        <w:t>ש</w:t>
      </w:r>
      <w:r>
        <w:rPr>
          <w:rFonts w:ascii="Arial" w:hAnsi="Arial" w:hint="cs"/>
          <w:noProof w:val="0"/>
          <w:rtl/>
        </w:rPr>
        <w:t>המשטרה ושירותי הרווחה, שתיהן רשויות המוסמכות לקבל תלונות ולחקור אותן. החוק מטיל על המשטרה חובה לחקור</w:t>
      </w:r>
      <w:r w:rsidR="00292F92">
        <w:rPr>
          <w:rFonts w:ascii="Arial" w:hAnsi="Arial" w:hint="cs"/>
          <w:noProof w:val="0"/>
          <w:rtl/>
        </w:rPr>
        <w:t xml:space="preserve"> תלונות</w:t>
      </w:r>
      <w:r>
        <w:rPr>
          <w:rFonts w:ascii="Arial" w:hAnsi="Arial" w:hint="cs"/>
          <w:noProof w:val="0"/>
          <w:rtl/>
        </w:rPr>
        <w:t xml:space="preserve"> שמוגשות לה והחוק מטיל על שירותי הרווחה להיות ערניים ולדווח למשטרה ולבית המשפט על כל חשד שיש להם בנוגע לאירועי אלימות במשפחה.</w:t>
      </w:r>
    </w:p>
    <w:p w:rsidR="006733FA" w:rsidRDefault="006733FA" w:rsidP="00602863">
      <w:pPr>
        <w:pStyle w:val="ad"/>
        <w:numPr>
          <w:ilvl w:val="0"/>
          <w:numId w:val="3"/>
        </w:numPr>
        <w:spacing w:line="360" w:lineRule="auto"/>
        <w:jc w:val="both"/>
        <w:rPr>
          <w:rFonts w:ascii="Arial" w:hAnsi="Arial"/>
          <w:noProof w:val="0"/>
        </w:rPr>
      </w:pPr>
      <w:r>
        <w:rPr>
          <w:rFonts w:ascii="Arial" w:hAnsi="Arial" w:hint="cs"/>
          <w:noProof w:val="0"/>
          <w:rtl/>
        </w:rPr>
        <w:t xml:space="preserve">לפיכך, ככל והפרסום נעשה בתום לב, מוקנית לנתבעת ההגנה הקבועה בסעיף 15(8) לחוק. </w:t>
      </w:r>
    </w:p>
    <w:p w:rsidR="006733FA" w:rsidRDefault="00292F92" w:rsidP="00602863">
      <w:pPr>
        <w:pStyle w:val="ad"/>
        <w:numPr>
          <w:ilvl w:val="0"/>
          <w:numId w:val="3"/>
        </w:numPr>
        <w:spacing w:line="360" w:lineRule="auto"/>
        <w:jc w:val="both"/>
        <w:rPr>
          <w:rFonts w:ascii="Arial" w:hAnsi="Arial"/>
          <w:noProof w:val="0"/>
        </w:rPr>
      </w:pPr>
      <w:r>
        <w:rPr>
          <w:rFonts w:ascii="Arial" w:hAnsi="Arial" w:hint="cs"/>
          <w:noProof w:val="0"/>
          <w:rtl/>
        </w:rPr>
        <w:t>סעיף 16(א) לחוק קובע</w:t>
      </w:r>
      <w:r w:rsidR="006733FA">
        <w:rPr>
          <w:rFonts w:ascii="Arial" w:hAnsi="Arial" w:hint="cs"/>
          <w:noProof w:val="0"/>
          <w:rtl/>
        </w:rPr>
        <w:t xml:space="preserve"> כי הנתבע נהנה מחזקת תום הלב אם מתקיימות הנסיבות הקבועות בסעיף 15(8) לחוק ואם הפרסום לא חרג מתחום הסביר באותן נסיבות. </w:t>
      </w:r>
    </w:p>
    <w:p w:rsidR="00BC091B" w:rsidRDefault="00BC091B" w:rsidP="00602863">
      <w:pPr>
        <w:pStyle w:val="ad"/>
        <w:numPr>
          <w:ilvl w:val="0"/>
          <w:numId w:val="3"/>
        </w:numPr>
        <w:spacing w:line="360" w:lineRule="auto"/>
        <w:jc w:val="both"/>
        <w:rPr>
          <w:rFonts w:ascii="Arial" w:hAnsi="Arial"/>
          <w:noProof w:val="0"/>
        </w:rPr>
      </w:pPr>
      <w:r>
        <w:rPr>
          <w:rFonts w:ascii="Arial" w:hAnsi="Arial" w:hint="cs"/>
          <w:noProof w:val="0"/>
          <w:rtl/>
        </w:rPr>
        <w:t xml:space="preserve">כאמור לעיל, הפרסום נעשה בנסיבות הקבועות בסעיף 15(8) לחוק. </w:t>
      </w:r>
    </w:p>
    <w:p w:rsidR="00BC091B" w:rsidRDefault="00BC091B" w:rsidP="00602863">
      <w:pPr>
        <w:pStyle w:val="ad"/>
        <w:numPr>
          <w:ilvl w:val="0"/>
          <w:numId w:val="3"/>
        </w:numPr>
        <w:spacing w:line="360" w:lineRule="auto"/>
        <w:jc w:val="both"/>
        <w:rPr>
          <w:rFonts w:ascii="Arial" w:hAnsi="Arial"/>
          <w:noProof w:val="0"/>
        </w:rPr>
      </w:pPr>
      <w:r>
        <w:rPr>
          <w:rFonts w:ascii="Arial" w:hAnsi="Arial" w:hint="cs"/>
          <w:noProof w:val="0"/>
          <w:rtl/>
        </w:rPr>
        <w:t xml:space="preserve">אשר ל"תחום הסביר", הנתבעת לא האשימה ולא הפריזה בתיאוריה. היא טענה שבמהלך ויכוח בין הצדדים, התובע דחף אותה. אותה עת היא החזיקה בידיה את ביתם הפעוטה (בת שנה וחצי) וכתוצאה מהדחיפה הפעוטה נחבלה בראשה במשקוף הדלת. מדובר אמנם בתקיפה, אולם לא ברף העליון או הגבוה של מדרג התקיפות האפשרית. </w:t>
      </w:r>
    </w:p>
    <w:p w:rsidR="00BC091B" w:rsidRDefault="00BC091B" w:rsidP="00602863">
      <w:pPr>
        <w:pStyle w:val="ad"/>
        <w:numPr>
          <w:ilvl w:val="0"/>
          <w:numId w:val="3"/>
        </w:numPr>
        <w:spacing w:line="360" w:lineRule="auto"/>
        <w:jc w:val="both"/>
        <w:rPr>
          <w:rFonts w:ascii="Arial" w:hAnsi="Arial"/>
          <w:noProof w:val="0"/>
        </w:rPr>
      </w:pPr>
      <w:r>
        <w:rPr>
          <w:rFonts w:ascii="Arial" w:hAnsi="Arial" w:hint="cs"/>
          <w:noProof w:val="0"/>
          <w:rtl/>
        </w:rPr>
        <w:t xml:space="preserve">הנתבעת לא פרסמה ברבים את תלונתה, לא ברשתות החברתיות ולא בקרב חברותיה. כל שעשתה הוא להתלונן ברווחה ובמשטרה. </w:t>
      </w:r>
    </w:p>
    <w:p w:rsidR="00BC091B" w:rsidRDefault="00BC091B" w:rsidP="00602863">
      <w:pPr>
        <w:pStyle w:val="ad"/>
        <w:numPr>
          <w:ilvl w:val="0"/>
          <w:numId w:val="3"/>
        </w:numPr>
        <w:spacing w:line="360" w:lineRule="auto"/>
        <w:jc w:val="both"/>
        <w:rPr>
          <w:rFonts w:ascii="Arial" w:hAnsi="Arial"/>
          <w:noProof w:val="0"/>
        </w:rPr>
      </w:pPr>
      <w:r>
        <w:rPr>
          <w:rFonts w:ascii="Arial" w:hAnsi="Arial" w:hint="cs"/>
          <w:noProof w:val="0"/>
          <w:rtl/>
        </w:rPr>
        <w:t xml:space="preserve">מכך עולה כי לכאורה קמה לנתבעת ההגנה הקבועה בחוק וחזקה שהפרסום נעשה בתום לב. </w:t>
      </w:r>
    </w:p>
    <w:p w:rsidR="00BC091B" w:rsidRDefault="00292F92" w:rsidP="00602863">
      <w:pPr>
        <w:pStyle w:val="ad"/>
        <w:numPr>
          <w:ilvl w:val="0"/>
          <w:numId w:val="3"/>
        </w:numPr>
        <w:spacing w:line="360" w:lineRule="auto"/>
        <w:jc w:val="both"/>
        <w:rPr>
          <w:rFonts w:ascii="Arial" w:hAnsi="Arial"/>
          <w:noProof w:val="0"/>
        </w:rPr>
      </w:pPr>
      <w:r>
        <w:rPr>
          <w:rFonts w:ascii="Arial" w:hAnsi="Arial" w:hint="cs"/>
          <w:noProof w:val="0"/>
          <w:rtl/>
        </w:rPr>
        <w:t>התובע טוען</w:t>
      </w:r>
      <w:r w:rsidR="00BC091B">
        <w:rPr>
          <w:rFonts w:ascii="Arial" w:hAnsi="Arial" w:hint="cs"/>
          <w:noProof w:val="0"/>
          <w:rtl/>
        </w:rPr>
        <w:t xml:space="preserve"> כי הנתבעת שיקרה למשטרה במזיד תוך שהיא יודעת שהפרסום אינו אמת והוא לא תקף אותה כלל. </w:t>
      </w:r>
    </w:p>
    <w:p w:rsidR="00BC091B" w:rsidRDefault="00BC091B" w:rsidP="00602863">
      <w:pPr>
        <w:pStyle w:val="ad"/>
        <w:numPr>
          <w:ilvl w:val="0"/>
          <w:numId w:val="3"/>
        </w:numPr>
        <w:spacing w:line="360" w:lineRule="auto"/>
        <w:jc w:val="both"/>
        <w:rPr>
          <w:rFonts w:ascii="Arial" w:hAnsi="Arial"/>
          <w:noProof w:val="0"/>
        </w:rPr>
      </w:pPr>
      <w:r>
        <w:rPr>
          <w:rFonts w:ascii="Arial" w:hAnsi="Arial" w:hint="cs"/>
          <w:noProof w:val="0"/>
          <w:rtl/>
        </w:rPr>
        <w:t>התובע הפנ</w:t>
      </w:r>
      <w:r w:rsidR="00292F92">
        <w:rPr>
          <w:rFonts w:ascii="Arial" w:hAnsi="Arial" w:hint="cs"/>
          <w:noProof w:val="0"/>
          <w:rtl/>
        </w:rPr>
        <w:t>ה לגרסאות השונות של הנתבעת וטען</w:t>
      </w:r>
      <w:r>
        <w:rPr>
          <w:rFonts w:ascii="Arial" w:hAnsi="Arial" w:hint="cs"/>
          <w:noProof w:val="0"/>
          <w:rtl/>
        </w:rPr>
        <w:t xml:space="preserve"> כי בכל פעם שינתה את גרסתה בנוגע לאירוע האלימות הנטען. </w:t>
      </w:r>
    </w:p>
    <w:p w:rsidR="00BC091B" w:rsidRDefault="00BC091B" w:rsidP="00BC091B">
      <w:pPr>
        <w:pStyle w:val="ad"/>
        <w:spacing w:line="360" w:lineRule="auto"/>
        <w:jc w:val="both"/>
        <w:rPr>
          <w:rFonts w:ascii="Arial" w:hAnsi="Arial"/>
          <w:noProof w:val="0"/>
          <w:rtl/>
        </w:rPr>
      </w:pPr>
      <w:r>
        <w:rPr>
          <w:rFonts w:ascii="Arial" w:hAnsi="Arial" w:hint="cs"/>
          <w:noProof w:val="0"/>
          <w:rtl/>
        </w:rPr>
        <w:t>עיינתי בכל גרסאותיה ומצאתי שבכולן חזרה הנתבעת על אותו הסיפור: הם רבו, צעקו זה על זו ובשלב מסוים התובע דחף אותה, היא מעדה והפעוטה נחבלה במצחה. כך סיפרה הנתבעת לעו"ס ברווחה, כך לשוטר שהגיע הביתה, כך לרופאים שבדקו אותה וכך בתח</w:t>
      </w:r>
      <w:r w:rsidR="00292F92">
        <w:rPr>
          <w:rFonts w:ascii="Arial" w:hAnsi="Arial" w:hint="cs"/>
          <w:noProof w:val="0"/>
          <w:rtl/>
        </w:rPr>
        <w:t>נת המשטרה. התובע נתלה בפרטים שולי</w:t>
      </w:r>
      <w:r>
        <w:rPr>
          <w:rFonts w:ascii="Arial" w:hAnsi="Arial" w:hint="cs"/>
          <w:noProof w:val="0"/>
          <w:rtl/>
        </w:rPr>
        <w:t>ים שלטענתו שונים מגרסה לגרסה, אולם לא מצאתי בכך ממש והתרשמתי מכנותה של הנתבעת בעדותה לפני.</w:t>
      </w:r>
    </w:p>
    <w:p w:rsidR="00BC091B" w:rsidRDefault="00BC091B" w:rsidP="00BC091B">
      <w:pPr>
        <w:pStyle w:val="ad"/>
        <w:numPr>
          <w:ilvl w:val="0"/>
          <w:numId w:val="3"/>
        </w:numPr>
        <w:spacing w:line="360" w:lineRule="auto"/>
        <w:jc w:val="both"/>
        <w:rPr>
          <w:rFonts w:ascii="Arial" w:hAnsi="Arial"/>
          <w:noProof w:val="0"/>
        </w:rPr>
      </w:pPr>
      <w:r>
        <w:rPr>
          <w:rFonts w:ascii="Arial" w:hAnsi="Arial" w:hint="cs"/>
          <w:noProof w:val="0"/>
          <w:rtl/>
        </w:rPr>
        <w:t>דומה שאין חולק כי אותה עת ה</w:t>
      </w:r>
      <w:r w:rsidR="008259BF">
        <w:rPr>
          <w:rFonts w:ascii="Arial" w:hAnsi="Arial" w:hint="cs"/>
          <w:noProof w:val="0"/>
          <w:rtl/>
        </w:rPr>
        <w:t xml:space="preserve">אווירה בבית הייתה מתוחה מאוד והצדדים הרבו לריב, כאשר כל אחד מהם מאשים את רעהו. כך לדוגמא, גם התובע הגיש נגד הנתבעת תלונה במשטרה, כשלטענתו היא אלימה כלפיו. </w:t>
      </w:r>
    </w:p>
    <w:p w:rsidR="008259BF" w:rsidRDefault="008259BF" w:rsidP="00BC091B">
      <w:pPr>
        <w:pStyle w:val="ad"/>
        <w:numPr>
          <w:ilvl w:val="0"/>
          <w:numId w:val="3"/>
        </w:numPr>
        <w:spacing w:line="360" w:lineRule="auto"/>
        <w:jc w:val="both"/>
        <w:rPr>
          <w:rFonts w:ascii="Arial" w:hAnsi="Arial"/>
          <w:noProof w:val="0"/>
        </w:rPr>
      </w:pPr>
      <w:r>
        <w:rPr>
          <w:rFonts w:ascii="Arial" w:hAnsi="Arial" w:hint="cs"/>
          <w:noProof w:val="0"/>
          <w:rtl/>
        </w:rPr>
        <w:t>כך ניתן ללמוד גם מהתסקירים שהוגשו בתיקים הקשורים 3270-04-21, 5261-04-21 (כל אחד מהם הגיש תביעת משמורת). סה"כ הוגשו 5 תסקירים שפירטו כי האווירה בין הצדדים מתוחה מאוד, חוסר אמון הדדי, האשמות הדדיות, סכסוך בעצימות גבוהה. כל אחד סבור שהאחר הורה לא טוב, אולם שירותי הרוו</w:t>
      </w:r>
      <w:r w:rsidR="00292F92">
        <w:rPr>
          <w:rFonts w:ascii="Arial" w:hAnsi="Arial" w:hint="cs"/>
          <w:noProof w:val="0"/>
          <w:rtl/>
        </w:rPr>
        <w:t>חה מצאו שכל אחד מהם הורה טוב כשל</w:t>
      </w:r>
      <w:r>
        <w:rPr>
          <w:rFonts w:ascii="Arial" w:hAnsi="Arial" w:hint="cs"/>
          <w:noProof w:val="0"/>
          <w:rtl/>
        </w:rPr>
        <w:t xml:space="preserve">עצמו. כך לדוגמא, נבדקו ונשללו טענות התובע כי הנתבעת מזניחה את הילדים ומתעללת בהם. </w:t>
      </w:r>
    </w:p>
    <w:p w:rsidR="008259BF" w:rsidRDefault="00292F92" w:rsidP="00BC091B">
      <w:pPr>
        <w:pStyle w:val="ad"/>
        <w:numPr>
          <w:ilvl w:val="0"/>
          <w:numId w:val="3"/>
        </w:numPr>
        <w:spacing w:line="360" w:lineRule="auto"/>
        <w:jc w:val="both"/>
        <w:rPr>
          <w:rFonts w:ascii="Arial" w:hAnsi="Arial"/>
          <w:noProof w:val="0"/>
        </w:rPr>
      </w:pPr>
      <w:r>
        <w:rPr>
          <w:rFonts w:ascii="Arial" w:hAnsi="Arial" w:hint="cs"/>
          <w:noProof w:val="0"/>
          <w:rtl/>
        </w:rPr>
        <w:t>כאמור, האווירה בבית היית</w:t>
      </w:r>
      <w:r w:rsidR="008259BF">
        <w:rPr>
          <w:rFonts w:ascii="Arial" w:hAnsi="Arial" w:hint="cs"/>
          <w:noProof w:val="0"/>
          <w:rtl/>
        </w:rPr>
        <w:t xml:space="preserve">ה מתוחה ואין מחלוקת שהצדדים הרבו לריב בעת ההיא. עוד אין מחלוקת, כי אותה עת הנתבעת הייתה בהריון עם בנם הצעיר של הצדדים וכי התובע חשב שההיריון לא ממנו, אלא מב"כ הנתבעת וחשד בה שהיא מנהלת רומן עם ב"כ, שהוא אבי העובר שברחמה. </w:t>
      </w:r>
    </w:p>
    <w:p w:rsidR="008259BF" w:rsidRDefault="008259BF" w:rsidP="00BC091B">
      <w:pPr>
        <w:pStyle w:val="ad"/>
        <w:numPr>
          <w:ilvl w:val="0"/>
          <w:numId w:val="3"/>
        </w:numPr>
        <w:spacing w:line="360" w:lineRule="auto"/>
        <w:jc w:val="both"/>
        <w:rPr>
          <w:rFonts w:ascii="Arial" w:hAnsi="Arial"/>
          <w:noProof w:val="0"/>
        </w:rPr>
      </w:pPr>
      <w:r w:rsidRPr="00292F92">
        <w:rPr>
          <w:rFonts w:ascii="Arial" w:hAnsi="Arial" w:hint="cs"/>
          <w:b/>
          <w:bCs/>
          <w:noProof w:val="0"/>
          <w:rtl/>
        </w:rPr>
        <w:t>עו"ס אורנה זיו</w:t>
      </w:r>
      <w:r>
        <w:rPr>
          <w:rFonts w:ascii="Arial" w:hAnsi="Arial" w:hint="cs"/>
          <w:noProof w:val="0"/>
          <w:rtl/>
        </w:rPr>
        <w:t xml:space="preserve"> שטיפלה בצדדים מטעם שירותי הרווחה העידה וסיפרה כיצד בזמן אמת הנתבעת צלצלה אליה, סיפרה לה על אירוע האלימות והתייעצה עימה. </w:t>
      </w:r>
    </w:p>
    <w:p w:rsidR="008259BF" w:rsidRDefault="008259BF" w:rsidP="00BC091B">
      <w:pPr>
        <w:pStyle w:val="ad"/>
        <w:numPr>
          <w:ilvl w:val="0"/>
          <w:numId w:val="3"/>
        </w:numPr>
        <w:spacing w:line="360" w:lineRule="auto"/>
        <w:jc w:val="both"/>
        <w:rPr>
          <w:rFonts w:ascii="Arial" w:hAnsi="Arial"/>
          <w:noProof w:val="0"/>
        </w:rPr>
      </w:pPr>
      <w:r w:rsidRPr="00292F92">
        <w:rPr>
          <w:rFonts w:ascii="Arial" w:hAnsi="Arial" w:hint="cs"/>
          <w:b/>
          <w:bCs/>
          <w:noProof w:val="0"/>
          <w:rtl/>
        </w:rPr>
        <w:t>אמה של הנתבעת</w:t>
      </w:r>
      <w:r>
        <w:rPr>
          <w:rFonts w:ascii="Arial" w:hAnsi="Arial" w:hint="cs"/>
          <w:noProof w:val="0"/>
          <w:rtl/>
        </w:rPr>
        <w:t xml:space="preserve"> העידה וסיפרה גם היא כיצד פרמדיק של מד"א התקשר אליה וסיפר לה על התקיפה. </w:t>
      </w:r>
    </w:p>
    <w:p w:rsidR="008259BF" w:rsidRDefault="008259BF" w:rsidP="00BC091B">
      <w:pPr>
        <w:pStyle w:val="ad"/>
        <w:numPr>
          <w:ilvl w:val="0"/>
          <w:numId w:val="3"/>
        </w:numPr>
        <w:spacing w:line="360" w:lineRule="auto"/>
        <w:jc w:val="both"/>
        <w:rPr>
          <w:rFonts w:ascii="Arial" w:hAnsi="Arial"/>
          <w:noProof w:val="0"/>
        </w:rPr>
      </w:pPr>
      <w:r>
        <w:rPr>
          <w:rFonts w:ascii="Arial" w:hAnsi="Arial" w:hint="cs"/>
          <w:noProof w:val="0"/>
          <w:rtl/>
        </w:rPr>
        <w:t xml:space="preserve">הנתבעת העידה כיצד הייתה נסערת בעקבות האירוע, חששה שאולי אירע נזק לעובר שברחמה או לפעוטה שנחבלה, מד"א הורו לה להתפנות לבדיקה בבית חולים ולכן ביקשה מאימה שתגיע לשמור על הבן הבכור (בן שנתיים וחצי </w:t>
      </w:r>
      <w:r w:rsidR="001557F2">
        <w:rPr>
          <w:rFonts w:ascii="Arial" w:hAnsi="Arial" w:hint="cs"/>
          <w:noProof w:val="0"/>
          <w:rtl/>
        </w:rPr>
        <w:t>אותה עת).</w:t>
      </w:r>
    </w:p>
    <w:p w:rsidR="001557F2" w:rsidRDefault="001557F2" w:rsidP="00BC091B">
      <w:pPr>
        <w:pStyle w:val="ad"/>
        <w:numPr>
          <w:ilvl w:val="0"/>
          <w:numId w:val="3"/>
        </w:numPr>
        <w:spacing w:line="360" w:lineRule="auto"/>
        <w:jc w:val="both"/>
        <w:rPr>
          <w:rFonts w:ascii="Arial" w:hAnsi="Arial"/>
          <w:noProof w:val="0"/>
        </w:rPr>
      </w:pPr>
      <w:r>
        <w:rPr>
          <w:rFonts w:ascii="Arial" w:hAnsi="Arial" w:hint="cs"/>
          <w:noProof w:val="0"/>
          <w:rtl/>
        </w:rPr>
        <w:t>התובע טען שהנתבעת משקרת, שמד"א לא הורו לה להתפנות לבית חולים אלא היא יזמה זאת בכדי לחזק את תלונתה. טענתו זו של התובע נסתרת על ידי מסמך שהוא עצמו צירף לכתב התביעה: דו"ח מד"א בו נרשם: "...הוחלט ע"י מד"א שהיא תפונה לבית חולים מאיר להמשך טיפול רפואי."</w:t>
      </w:r>
    </w:p>
    <w:p w:rsidR="001557F2" w:rsidRDefault="001557F2" w:rsidP="00BC091B">
      <w:pPr>
        <w:pStyle w:val="ad"/>
        <w:numPr>
          <w:ilvl w:val="0"/>
          <w:numId w:val="3"/>
        </w:numPr>
        <w:spacing w:line="360" w:lineRule="auto"/>
        <w:jc w:val="both"/>
        <w:rPr>
          <w:rFonts w:ascii="Arial" w:hAnsi="Arial"/>
          <w:noProof w:val="0"/>
        </w:rPr>
      </w:pPr>
      <w:r>
        <w:rPr>
          <w:rFonts w:ascii="Arial" w:hAnsi="Arial" w:hint="cs"/>
          <w:noProof w:val="0"/>
          <w:rtl/>
        </w:rPr>
        <w:t>התובע מייחס חשיבות רבה לכך שתלונת הנתבעת נסגרה "מחוסר אשמה". בכך הוא סב</w:t>
      </w:r>
      <w:r w:rsidR="00292F92">
        <w:rPr>
          <w:rFonts w:ascii="Arial" w:hAnsi="Arial" w:hint="cs"/>
          <w:noProof w:val="0"/>
          <w:rtl/>
        </w:rPr>
        <w:t>ו</w:t>
      </w:r>
      <w:r>
        <w:rPr>
          <w:rFonts w:ascii="Arial" w:hAnsi="Arial" w:hint="cs"/>
          <w:noProof w:val="0"/>
          <w:rtl/>
        </w:rPr>
        <w:t xml:space="preserve">ר כי הוכח שתלונת הנתבעת שקרית ביסודה. התובע לא המציא מסמך לתמיכה בטענתו, אולם בסיכומיו הודה שהתלונה נסגרה מ"העדר ראיות" ולא מ"חוסר אשמה". עוד הוא מודה, כי המשטרה הרחיקה אותו מהנתבעת ל-15 ימים. </w:t>
      </w:r>
    </w:p>
    <w:p w:rsidR="001557F2" w:rsidRDefault="00292F92" w:rsidP="00BC091B">
      <w:pPr>
        <w:pStyle w:val="ad"/>
        <w:numPr>
          <w:ilvl w:val="0"/>
          <w:numId w:val="3"/>
        </w:numPr>
        <w:spacing w:line="360" w:lineRule="auto"/>
        <w:jc w:val="both"/>
        <w:rPr>
          <w:rFonts w:ascii="Arial" w:hAnsi="Arial"/>
          <w:noProof w:val="0"/>
        </w:rPr>
      </w:pPr>
      <w:r>
        <w:rPr>
          <w:rFonts w:ascii="Arial" w:hAnsi="Arial" w:hint="cs"/>
          <w:noProof w:val="0"/>
          <w:rtl/>
        </w:rPr>
        <w:t>באמור לעיל</w:t>
      </w:r>
      <w:r w:rsidR="001557F2">
        <w:rPr>
          <w:rFonts w:ascii="Arial" w:hAnsi="Arial" w:hint="cs"/>
          <w:noProof w:val="0"/>
          <w:rtl/>
        </w:rPr>
        <w:t xml:space="preserve"> אין כדי לקבוע שהנתבעת אמרה אמת בתלונתה או שלא אמרה אמת. כל שעולה מכך הוא שהמשטרה חשדה שהתלונ</w:t>
      </w:r>
      <w:r w:rsidR="0071101C">
        <w:rPr>
          <w:rFonts w:ascii="Arial" w:hAnsi="Arial" w:hint="cs"/>
          <w:noProof w:val="0"/>
          <w:rtl/>
        </w:rPr>
        <w:t xml:space="preserve">ה כנה ולכן בחרה להרחיק את התובע מהנתבעת ל-15 ימים. נוסף לכך, יש לזכור כי בכדי להרשיע אדם בעבירה פלילית, יש צורך בראיות מעבר לספק סביר. במקרה הנוכחי, אני התרשמתי שהנתבעת דוברת אמת, שהיא חוותה אווירה אלימה ושהתובע דחף אותה. האם זה מספיק כדי להרשיע את התובע בפלילים? אני מתייחס לכך, מכיוון שהשאלה לא רלבנטית לתיק שלפני. </w:t>
      </w:r>
    </w:p>
    <w:p w:rsidR="0071101C" w:rsidRDefault="0071101C" w:rsidP="00BC091B">
      <w:pPr>
        <w:pStyle w:val="ad"/>
        <w:numPr>
          <w:ilvl w:val="0"/>
          <w:numId w:val="3"/>
        </w:numPr>
        <w:spacing w:line="360" w:lineRule="auto"/>
        <w:jc w:val="both"/>
        <w:rPr>
          <w:rFonts w:ascii="Arial" w:hAnsi="Arial"/>
          <w:noProof w:val="0"/>
        </w:rPr>
      </w:pPr>
      <w:r>
        <w:rPr>
          <w:rFonts w:ascii="Arial" w:hAnsi="Arial" w:hint="cs"/>
          <w:noProof w:val="0"/>
          <w:rtl/>
        </w:rPr>
        <w:t>בתביעה אזרחית יש להוכיח ברף של 51%, כלומר שהרף נוטה לטובת מי מהצדדים יותר מאשר לטובת הצד השני.</w:t>
      </w:r>
      <w:r w:rsidR="00292F92">
        <w:rPr>
          <w:rFonts w:ascii="Arial" w:hAnsi="Arial" w:hint="cs"/>
          <w:noProof w:val="0"/>
          <w:rtl/>
        </w:rPr>
        <w:t xml:space="preserve"> בפלילים הרף הראייתי גבוה בהרבה, לפיכך, בעיקרון ייתכן מצב בו אין מספיק ראיות להרשעה בפלילים אולם יש מספיק ראיות לזכייה בתביעה אזרחית.</w:t>
      </w:r>
      <w:r>
        <w:rPr>
          <w:rFonts w:ascii="Arial" w:hAnsi="Arial" w:hint="cs"/>
          <w:noProof w:val="0"/>
          <w:rtl/>
        </w:rPr>
        <w:t xml:space="preserve"> בהגנה לפי סעיף 15(8) לחוק, אין צורך להוכיח כלל שהמקרה אירע. כל עוד הנתבעת לא שיקרה במכוון, עומדת לה ההגנה שבסעיף 15(8). </w:t>
      </w:r>
    </w:p>
    <w:p w:rsidR="0071101C" w:rsidRDefault="0071101C" w:rsidP="00BC091B">
      <w:pPr>
        <w:pStyle w:val="ad"/>
        <w:numPr>
          <w:ilvl w:val="0"/>
          <w:numId w:val="3"/>
        </w:numPr>
        <w:spacing w:line="360" w:lineRule="auto"/>
        <w:jc w:val="both"/>
        <w:rPr>
          <w:rFonts w:ascii="Arial" w:hAnsi="Arial"/>
          <w:noProof w:val="0"/>
        </w:rPr>
      </w:pPr>
      <w:r>
        <w:rPr>
          <w:rFonts w:ascii="Arial" w:hAnsi="Arial" w:hint="cs"/>
          <w:noProof w:val="0"/>
          <w:rtl/>
        </w:rPr>
        <w:t xml:space="preserve">במקרה הנוכחי לא מצאתי ראיה לכך שהנתבעת שיקרה. האמנתי לנתבעת, האמנתי לאימה והאמנתי לעו"ס שהעידה. </w:t>
      </w:r>
    </w:p>
    <w:p w:rsidR="0071101C" w:rsidRDefault="0071101C" w:rsidP="00292F92">
      <w:pPr>
        <w:pStyle w:val="ad"/>
        <w:numPr>
          <w:ilvl w:val="0"/>
          <w:numId w:val="3"/>
        </w:numPr>
        <w:spacing w:line="360" w:lineRule="auto"/>
        <w:jc w:val="both"/>
        <w:rPr>
          <w:rFonts w:ascii="Arial" w:hAnsi="Arial"/>
          <w:noProof w:val="0"/>
        </w:rPr>
      </w:pPr>
      <w:r>
        <w:rPr>
          <w:rFonts w:ascii="Arial" w:hAnsi="Arial" w:hint="cs"/>
          <w:noProof w:val="0"/>
          <w:rtl/>
        </w:rPr>
        <w:t xml:space="preserve">מהעדויות שפורטו לעיל עולה כי האווירה בבית הייתה טעונה, הצדדים היו בסכסוך בעצימות גבוהה. הנתבעת הייתה בהריון שהתובע לא רצה בו, התובע חשד שהיא בוגדת בו וההיריון לא ממנו. </w:t>
      </w:r>
    </w:p>
    <w:p w:rsidR="0071101C" w:rsidRDefault="0071101C" w:rsidP="00BC091B">
      <w:pPr>
        <w:pStyle w:val="ad"/>
        <w:numPr>
          <w:ilvl w:val="0"/>
          <w:numId w:val="3"/>
        </w:numPr>
        <w:spacing w:line="360" w:lineRule="auto"/>
        <w:jc w:val="both"/>
        <w:rPr>
          <w:rFonts w:ascii="Arial" w:hAnsi="Arial"/>
          <w:noProof w:val="0"/>
        </w:rPr>
      </w:pPr>
      <w:r>
        <w:rPr>
          <w:rFonts w:ascii="Arial" w:hAnsi="Arial" w:hint="cs"/>
          <w:noProof w:val="0"/>
          <w:rtl/>
        </w:rPr>
        <w:t xml:space="preserve">עוד עולה מהראיות, כי הנתבעת לא העלילה על התובע סיפורים קיצוניים. התלונה עליה חזרה בפני מד"א, בי"ח, משטרה, רווחה, היא אותה תלונה המתארת כיצד הצדדים התווכחו ותוך כדי כך התובע דחף אותה. לא מכות אכזריות, לא </w:t>
      </w:r>
      <w:r w:rsidR="00D63367">
        <w:rPr>
          <w:rFonts w:ascii="Arial" w:hAnsi="Arial" w:hint="cs"/>
          <w:noProof w:val="0"/>
          <w:rtl/>
        </w:rPr>
        <w:t xml:space="preserve">אלימות מינית חלילה, לא פגיעה קשה: דחיפה. </w:t>
      </w:r>
    </w:p>
    <w:p w:rsidR="00D63367" w:rsidRDefault="00D63367" w:rsidP="00D63367">
      <w:pPr>
        <w:pStyle w:val="ad"/>
        <w:numPr>
          <w:ilvl w:val="0"/>
          <w:numId w:val="3"/>
        </w:numPr>
        <w:spacing w:line="360" w:lineRule="auto"/>
        <w:jc w:val="both"/>
        <w:rPr>
          <w:rFonts w:ascii="Arial" w:hAnsi="Arial"/>
          <w:noProof w:val="0"/>
        </w:rPr>
      </w:pPr>
      <w:r>
        <w:rPr>
          <w:rFonts w:ascii="Arial" w:hAnsi="Arial" w:hint="cs"/>
          <w:noProof w:val="0"/>
          <w:rtl/>
        </w:rPr>
        <w:t xml:space="preserve">התובע מתייחס בסיכומיו לאירועים הנוגעים לאימו, אך זו לא תבעה ולא העידה, לכן לא מצאתי לנכון להתייחס לטענות אלו, שאינן רלבנטיות לתביעה. </w:t>
      </w:r>
    </w:p>
    <w:p w:rsidR="00D63367" w:rsidRDefault="00D63367" w:rsidP="00D63367">
      <w:pPr>
        <w:pStyle w:val="ad"/>
        <w:numPr>
          <w:ilvl w:val="0"/>
          <w:numId w:val="3"/>
        </w:numPr>
        <w:spacing w:line="360" w:lineRule="auto"/>
        <w:jc w:val="both"/>
        <w:rPr>
          <w:rFonts w:ascii="Arial" w:hAnsi="Arial"/>
          <w:noProof w:val="0"/>
        </w:rPr>
      </w:pPr>
      <w:r>
        <w:rPr>
          <w:rFonts w:ascii="Arial" w:hAnsi="Arial" w:hint="cs"/>
          <w:noProof w:val="0"/>
          <w:rtl/>
        </w:rPr>
        <w:t>התובע טען כי גם בעת ההיא, כשהסכסוך היה גבוה, הנתבעת לא חששה לנסוע איתו ברכב באירוע ברית המילה של בנם הצעיר. כאמור, הנתבעת לא טענה לאלימות ברף גבוה, לא לאכזריות ולא למכות קשות. יתרה מכך, הנתבעת הבהירה כי היא התלבטה מאוד ולא ששה להתגרש מהתובע, למרות הכל. אישה צעירה, אם ל-2 פעוטות ונושאת ברחמה את השלישי, לא עובדת ונסמכת על פרנסת בעלה, אני מאמין לה שהתלבטה קשות טרם שהחליטה סופית להתגרש.</w:t>
      </w:r>
    </w:p>
    <w:p w:rsidR="00D63367" w:rsidRDefault="00D63367" w:rsidP="00D63367">
      <w:pPr>
        <w:pStyle w:val="ad"/>
        <w:numPr>
          <w:ilvl w:val="0"/>
          <w:numId w:val="3"/>
        </w:numPr>
        <w:spacing w:line="360" w:lineRule="auto"/>
        <w:jc w:val="both"/>
        <w:rPr>
          <w:rFonts w:ascii="Arial" w:hAnsi="Arial"/>
          <w:noProof w:val="0"/>
        </w:rPr>
      </w:pPr>
      <w:r>
        <w:rPr>
          <w:rFonts w:ascii="Arial" w:hAnsi="Arial" w:hint="cs"/>
          <w:noProof w:val="0"/>
          <w:rtl/>
        </w:rPr>
        <w:t xml:space="preserve">סיכומו של דבר, התובע לא הוכיח את תביעתו, התביעה נדחית והתובע מחויב בהוצאותיה בסך 30,000 ₪. </w:t>
      </w:r>
    </w:p>
    <w:p w:rsidR="00D63367" w:rsidRDefault="00D63367" w:rsidP="00D63367">
      <w:pPr>
        <w:pStyle w:val="ad"/>
        <w:numPr>
          <w:ilvl w:val="0"/>
          <w:numId w:val="3"/>
        </w:numPr>
        <w:spacing w:line="360" w:lineRule="auto"/>
        <w:jc w:val="both"/>
        <w:rPr>
          <w:rFonts w:ascii="Arial" w:hAnsi="Arial"/>
          <w:noProof w:val="0"/>
        </w:rPr>
      </w:pPr>
      <w:r>
        <w:rPr>
          <w:rFonts w:ascii="Arial" w:hAnsi="Arial" w:hint="cs"/>
          <w:noProof w:val="0"/>
          <w:rtl/>
        </w:rPr>
        <w:t xml:space="preserve">המזכירות תשלח את פסק הדין לצדדים ותסגור את התיק. </w:t>
      </w:r>
    </w:p>
    <w:p w:rsidR="00292F92" w:rsidRPr="00BC091B" w:rsidRDefault="00292F92" w:rsidP="00D63367">
      <w:pPr>
        <w:pStyle w:val="ad"/>
        <w:numPr>
          <w:ilvl w:val="0"/>
          <w:numId w:val="3"/>
        </w:numPr>
        <w:spacing w:line="360" w:lineRule="auto"/>
        <w:jc w:val="both"/>
        <w:rPr>
          <w:rFonts w:ascii="Arial" w:hAnsi="Arial"/>
          <w:noProof w:val="0"/>
        </w:rPr>
      </w:pPr>
      <w:r>
        <w:rPr>
          <w:rFonts w:ascii="Arial" w:hAnsi="Arial" w:hint="cs"/>
          <w:noProof w:val="0"/>
          <w:rtl/>
        </w:rPr>
        <w:t>מותר לפרסום ללא פרטים מזהים.</w:t>
      </w: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י"ב סיוון תשפ"ג</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01 יוני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31333B">
      <w:pPr>
        <w:spacing w:line="360" w:lineRule="auto"/>
        <w:ind w:left="3600" w:firstLine="720"/>
        <w:jc w:val="both"/>
      </w:pPr>
      <w:sdt>
        <w:sdtPr>
          <w:rPr>
            <w:rtl/>
          </w:rPr>
          <w:alias w:val="MergeField"/>
          <w:tag w:val="1237"/>
          <w:id w:val="1126816504"/>
        </w:sdtPr>
        <w:sdtEndPr/>
        <w:sdtContent>
          <w:r w:rsidR="00FA55B8">
            <w:drawing>
              <wp:inline distT="0" distB="0" distL="0" distR="0" wp14:editId="50D07946">
                <wp:extent cx="2371725" cy="13811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2371725" cy="138112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9"/>
      <w:footerReference w:type="default" r:id="rId10"/>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333B" w:rsidRDefault="0031333B">
      <w:r>
        <w:separator/>
      </w:r>
    </w:p>
  </w:endnote>
  <w:endnote w:type="continuationSeparator" w:id="0">
    <w:p w:rsidR="0031333B" w:rsidRDefault="00313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4C0F0D">
      <w:rPr>
        <w:rStyle w:val="ab"/>
        <w:rtl/>
      </w:rPr>
      <w:t>2</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4C0F0D">
      <w:rPr>
        <w:rStyle w:val="ab"/>
        <w:rtl/>
      </w:rPr>
      <w:t>4</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333B" w:rsidRDefault="0031333B">
      <w:r>
        <w:separator/>
      </w:r>
    </w:p>
  </w:footnote>
  <w:footnote w:type="continuationSeparator" w:id="0">
    <w:p w:rsidR="0031333B" w:rsidRDefault="00313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31333B" w:rsidP="0091560E">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תלה"מ</w:t>
              </w:r>
            </w:sdtContent>
          </w:sdt>
          <w:r w:rsidR="00011212">
            <w:rPr>
              <w:b/>
              <w:bCs/>
              <w:noProof w:val="0"/>
              <w:sz w:val="26"/>
              <w:szCs w:val="26"/>
              <w:rtl/>
            </w:rPr>
            <w:t xml:space="preserve"> </w:t>
          </w:r>
          <w:bookmarkStart w:id="0" w:name="_GoBack"/>
          <w:sdt>
            <w:sdtPr>
              <w:rPr>
                <w:rtl/>
              </w:rPr>
              <w:alias w:val="1171"/>
              <w:tag w:val="1171"/>
              <w:id w:val="1025217868"/>
              <w:text w:multiLine="1"/>
            </w:sdtPr>
            <w:sdtEndPr/>
            <w:sdtContent>
              <w:r w:rsidR="00BD18F5">
                <w:rPr>
                  <w:b/>
                  <w:bCs/>
                  <w:noProof w:val="0"/>
                  <w:sz w:val="26"/>
                  <w:szCs w:val="26"/>
                  <w:rtl/>
                </w:rPr>
                <w:t>20946-05-22</w:t>
              </w:r>
            </w:sdtContent>
          </w:sdt>
          <w:bookmarkEnd w:id="0"/>
          <w:r w:rsidR="00011212">
            <w:rPr>
              <w:b/>
              <w:bCs/>
              <w:noProof w:val="0"/>
              <w:sz w:val="26"/>
              <w:szCs w:val="26"/>
              <w:rtl/>
            </w:rPr>
            <w:t xml:space="preserve"> </w:t>
          </w:r>
          <w:sdt>
            <w:sdtPr>
              <w:rPr>
                <w:rtl/>
              </w:rPr>
              <w:alias w:val="1172"/>
              <w:tag w:val="1172"/>
              <w:id w:val="-673653942"/>
              <w:text w:multiLine="1"/>
            </w:sdtPr>
            <w:sdtEndPr/>
            <w:sdtContent>
              <w:r w:rsidR="0091560E">
                <w:rPr>
                  <w:rFonts w:hint="cs"/>
                  <w:b/>
                  <w:bCs/>
                  <w:noProof w:val="0"/>
                  <w:sz w:val="26"/>
                  <w:szCs w:val="26"/>
                  <w:rtl/>
                </w:rPr>
                <w:t>פלוני</w:t>
              </w:r>
              <w:r w:rsidR="00BD18F5">
                <w:rPr>
                  <w:b/>
                  <w:bCs/>
                  <w:noProof w:val="0"/>
                  <w:sz w:val="26"/>
                  <w:szCs w:val="26"/>
                  <w:rtl/>
                </w:rPr>
                <w:t xml:space="preserve"> נ' </w:t>
              </w:r>
              <w:r w:rsidR="0091560E">
                <w:rPr>
                  <w:rFonts w:hint="cs"/>
                  <w:b/>
                  <w:bCs/>
                  <w:noProof w:val="0"/>
                  <w:sz w:val="26"/>
                  <w:szCs w:val="26"/>
                  <w:rtl/>
                </w:rPr>
                <w:t>אלמונית</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E3B6C"/>
    <w:multiLevelType w:val="hybridMultilevel"/>
    <w:tmpl w:val="8A3A4980"/>
    <w:lvl w:ilvl="0" w:tplc="F55A0776">
      <w:start w:val="1"/>
      <w:numFmt w:val="decimal"/>
      <w:lvlText w:val="%1."/>
      <w:lvlJc w:val="left"/>
      <w:pPr>
        <w:ind w:left="510" w:hanging="360"/>
      </w:pPr>
      <w:rPr>
        <w:rFonts w:hint="default"/>
        <w:sz w:val="24"/>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1" w15:restartNumberingAfterBreak="0">
    <w:nsid w:val="40DA389A"/>
    <w:multiLevelType w:val="hybridMultilevel"/>
    <w:tmpl w:val="23946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0A43B69"/>
    <w:multiLevelType w:val="hybridMultilevel"/>
    <w:tmpl w:val="44A27400"/>
    <w:lvl w:ilvl="0" w:tplc="9528A062">
      <w:start w:val="1"/>
      <w:numFmt w:val="decimal"/>
      <w:lvlText w:val="%1."/>
      <w:lvlJc w:val="left"/>
      <w:pPr>
        <w:ind w:left="510" w:hanging="360"/>
      </w:pPr>
      <w:rPr>
        <w:rFonts w:hint="default"/>
        <w:sz w:val="24"/>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1557F2"/>
    <w:rsid w:val="00265648"/>
    <w:rsid w:val="002914D6"/>
    <w:rsid w:val="00292F92"/>
    <w:rsid w:val="002F5307"/>
    <w:rsid w:val="0031333B"/>
    <w:rsid w:val="004C0F0D"/>
    <w:rsid w:val="00602863"/>
    <w:rsid w:val="00666802"/>
    <w:rsid w:val="006733FA"/>
    <w:rsid w:val="006C4051"/>
    <w:rsid w:val="0071101C"/>
    <w:rsid w:val="007C1077"/>
    <w:rsid w:val="007C6BD7"/>
    <w:rsid w:val="00822AA5"/>
    <w:rsid w:val="008259BF"/>
    <w:rsid w:val="0091072C"/>
    <w:rsid w:val="009108D7"/>
    <w:rsid w:val="0091560E"/>
    <w:rsid w:val="00950D71"/>
    <w:rsid w:val="00B124B0"/>
    <w:rsid w:val="00BC091B"/>
    <w:rsid w:val="00BD18F5"/>
    <w:rsid w:val="00BD5B6B"/>
    <w:rsid w:val="00C40239"/>
    <w:rsid w:val="00C931BD"/>
    <w:rsid w:val="00D358FE"/>
    <w:rsid w:val="00D54B3A"/>
    <w:rsid w:val="00D63367"/>
    <w:rsid w:val="00DB1C5A"/>
    <w:rsid w:val="00E9298F"/>
    <w:rsid w:val="00F50E07"/>
    <w:rsid w:val="00F53A21"/>
    <w:rsid w:val="00F706EB"/>
    <w:rsid w:val="00FA55B8"/>
    <w:rsid w:val="00FC3D4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B528E6F-5F9C-4FCB-91F9-1EC0D5A1D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6028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55F6979184A8EB6F607B634EEB644"/>
        <w:category>
          <w:name w:val="כללי"/>
          <w:gallery w:val="placeholder"/>
        </w:category>
        <w:types>
          <w:type w:val="bbPlcHdr"/>
        </w:types>
        <w:behaviors>
          <w:behavior w:val="content"/>
        </w:behaviors>
        <w:guid w:val="{26665E1D-3EB0-4F1B-800A-C360F03F9243}"/>
      </w:docPartPr>
      <w:docPartBody>
        <w:p w:rsidR="006B6CBC" w:rsidRDefault="00A32E59" w:rsidP="00A32E59">
          <w:pPr>
            <w:pStyle w:val="31A55F6979184A8EB6F607B634EEB644"/>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6B6CBC"/>
    <w:rsid w:val="006D467C"/>
    <w:rsid w:val="00A32E59"/>
    <w:rsid w:val="00AD582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2E59"/>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1123</Words>
  <Characters>5619</Characters>
  <Application>Microsoft Office Word</Application>
  <DocSecurity>0</DocSecurity>
  <Lines>46</Lines>
  <Paragraphs>13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מוטי גולן</cp:lastModifiedBy>
  <cp:revision>2</cp:revision>
  <cp:lastPrinted>2023-05-31T08:31:00Z</cp:lastPrinted>
  <dcterms:created xsi:type="dcterms:W3CDTF">2023-10-26T12:20:00Z</dcterms:created>
  <dcterms:modified xsi:type="dcterms:W3CDTF">2023-10-26T12:20:00Z</dcterms:modified>
</cp:coreProperties>
</file>